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1C10C" w14:textId="77777777" w:rsidR="00FC5E94" w:rsidRDefault="0012024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</w:r>
      <w:r w:rsidR="0012024A">
        <w:rPr>
          <w:noProof/>
        </w:rPr>
        <w:pict w14:anchorId="2C67A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pt;height:50pt;z-index:251659264;visibility:hidden">
            <v:path o:extrusionok="t"/>
            <o:lock v:ext="edit" selection="t"/>
          </v:shape>
        </w:pict>
      </w:r>
    </w:p>
    <w:p w14:paraId="2FD7DC60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72E21D3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Garamond" w:eastAsia="Garamond" w:hAnsi="Garamond" w:cs="Garamond"/>
          <w:color w:val="002060"/>
          <w:sz w:val="36"/>
          <w:szCs w:val="36"/>
        </w:rPr>
      </w:pPr>
      <w:r>
        <w:rPr>
          <w:rFonts w:ascii="Garamond" w:eastAsia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0FD4520E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5F5C919D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7D4B2C84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47F7C727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INDIRIZZO: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</w:t>
      </w:r>
      <w:r>
        <w:rPr>
          <w:rFonts w:ascii="Garamond" w:eastAsia="Garamond" w:hAnsi="Garamond" w:cs="Garamond"/>
          <w:b/>
          <w:smallCaps/>
          <w:color w:val="002060"/>
        </w:rPr>
        <w:t>Istituto Tecnico a Indirizzo Trasporti e Logistica</w:t>
      </w:r>
    </w:p>
    <w:p w14:paraId="079FFF1C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ARTICOLAZIONE: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 </w:t>
      </w:r>
      <w:r>
        <w:rPr>
          <w:rFonts w:ascii="Garamond" w:eastAsia="Garamond" w:hAnsi="Garamond" w:cs="Garamond"/>
          <w:b/>
          <w:smallCaps/>
          <w:color w:val="002060"/>
        </w:rPr>
        <w:t>Conduzione del Mezzo</w:t>
      </w:r>
    </w:p>
    <w:p w14:paraId="200A83C8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tabs>
          <w:tab w:val="left" w:pos="3720"/>
        </w:tabs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OPZIONE:</w:t>
      </w:r>
      <w:r>
        <w:rPr>
          <w:rFonts w:ascii="Garamond" w:eastAsia="Garamond" w:hAnsi="Garamond" w:cs="Garamond"/>
          <w:color w:val="000000"/>
        </w:rPr>
        <w:tab/>
        <w:t xml:space="preserve"> </w:t>
      </w:r>
      <w:r>
        <w:rPr>
          <w:rFonts w:ascii="Garamond" w:eastAsia="Garamond" w:hAnsi="Garamond" w:cs="Garamond"/>
          <w:b/>
          <w:smallCaps/>
          <w:color w:val="002060"/>
        </w:rPr>
        <w:t>Conduzione Mezzo Navale</w:t>
      </w:r>
      <w:r>
        <w:rPr>
          <w:rFonts w:ascii="Garamond" w:eastAsia="Garamond" w:hAnsi="Garamond" w:cs="Garamond"/>
          <w:color w:val="000000"/>
        </w:rPr>
        <w:t xml:space="preserve">          </w:t>
      </w:r>
    </w:p>
    <w:p w14:paraId="4E6E4262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76F58250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439539AA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2060"/>
        </w:rPr>
      </w:pPr>
      <w:r>
        <w:rPr>
          <w:rFonts w:ascii="Garamond" w:eastAsia="Garamond" w:hAnsi="Garamond" w:cs="Garamond"/>
          <w:color w:val="000000"/>
        </w:rPr>
        <w:t xml:space="preserve">CLASSE:     4 B CAIM    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A.S.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>2021/22</w:t>
      </w:r>
    </w:p>
    <w:p w14:paraId="4ED1F950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685641A2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tabs>
          <w:tab w:val="left" w:pos="6165"/>
        </w:tabs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ab/>
      </w:r>
    </w:p>
    <w:p w14:paraId="5020E04F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184A053A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DISCIPLINA: Diritto e economia</w:t>
      </w:r>
    </w:p>
    <w:p w14:paraId="6AB74355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DOCENTE:  Prof.ssa Carmen Giugliano</w:t>
      </w:r>
    </w:p>
    <w:p w14:paraId="139EF5BD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  <w:r>
        <w:br w:type="page"/>
      </w:r>
    </w:p>
    <w:tbl>
      <w:tblPr>
        <w:tblStyle w:val="a"/>
        <w:tblW w:w="10739" w:type="dxa"/>
        <w:jc w:val="center"/>
        <w:tblInd w:w="0" w:type="dxa"/>
        <w:tbl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60"/>
        <w:gridCol w:w="7619"/>
      </w:tblGrid>
      <w:tr w:rsidR="00FC5E94" w14:paraId="518D25E4" w14:textId="77777777">
        <w:trPr>
          <w:jc w:val="center"/>
        </w:trPr>
        <w:tc>
          <w:tcPr>
            <w:tcW w:w="15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54460FAD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14:paraId="1ED44CA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Tavola delle Competenze previste dalla Regola A-II/1 – STCW 95 Amended Manila 2010</w:t>
            </w:r>
          </w:p>
        </w:tc>
      </w:tr>
      <w:tr w:rsidR="00FC5E94" w14:paraId="34E2BC46" w14:textId="77777777">
        <w:trPr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2EF36E6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Funzione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BDF1F5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9C20FB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Descrizione</w:t>
            </w:r>
          </w:p>
        </w:tc>
      </w:tr>
      <w:tr w:rsidR="00FC5E94" w14:paraId="1CCAF3C4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918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Navigazione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41E6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A70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FC5E94" w14:paraId="2E640946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66478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779274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DE3FCB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FC5E94" w14:paraId="5B90A72D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48CD5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BAF6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3FA9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FC5E94" w14:paraId="452D23E8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A5804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5BF762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D24BB2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FC5E94" w14:paraId="1B6948F8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75977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0106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342D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FC5E94" w14:paraId="109BE77E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11169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CA5AF4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B42113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FC5E94" w14:paraId="110A6A3C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C8532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EA06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BCBE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l’IMO Standard Marine Communication Phrases e usa l’Inglese nella forma scritta e orale</w:t>
            </w:r>
          </w:p>
        </w:tc>
      </w:tr>
      <w:tr w:rsidR="00FC5E94" w14:paraId="71D39015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A494D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4FAFE7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C0047E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FC5E94" w14:paraId="0BDAE5AB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B58AF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6108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42A6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FC5E94" w14:paraId="24555041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7A9927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365F91"/>
                <w:sz w:val="20"/>
                <w:szCs w:val="20"/>
              </w:rPr>
              <w:t>Maneggio e stivaggio del carico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F647B5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CDC23C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FC5E94" w14:paraId="472AFA7D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7F481AF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01FF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8323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FC5E94" w14:paraId="4F3FA1DC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6D86214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6377CD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9BD53A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FC5E94" w14:paraId="6653C9F6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7314D7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682B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152D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(seaworthiness) della nave</w:t>
            </w:r>
          </w:p>
        </w:tc>
      </w:tr>
      <w:tr w:rsidR="00FC5E94" w14:paraId="5C0BA4E9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777C3B3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89B81F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0D6D08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FC5E94" w14:paraId="43768510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45C269DE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440B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388D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Aziona </w:t>
            </w:r>
            <w:r>
              <w:rPr>
                <w:i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FC5E94" w14:paraId="2C6469BD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4DB9D8A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837921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6EC903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/>
                <w:color w:val="365F91"/>
                <w:sz w:val="18"/>
                <w:szCs w:val="18"/>
              </w:rPr>
              <w:t xml:space="preserve">(medical first aid)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FC5E94" w14:paraId="729EC2E0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3394B82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2778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FF31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FC5E94" w14:paraId="272ABCF3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4FA70AAD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651801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FAAD14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FC5E94" w14:paraId="638F719F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D9F864D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BF0118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3DCAAC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1106D3DB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DFA2C09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br w:type="page"/>
      </w:r>
      <w:r>
        <w:rPr>
          <w:color w:val="000000"/>
        </w:rPr>
        <w:lastRenderedPageBreak/>
        <w:t xml:space="preserve">Modulo N°1: </w:t>
      </w:r>
      <w:r>
        <w:rPr>
          <w:rFonts w:ascii="Garamond" w:eastAsia="Garamond" w:hAnsi="Garamond" w:cs="Garamond"/>
          <w:b/>
          <w:color w:val="000000"/>
        </w:rPr>
        <w:t>DIRITTO DELLA NAVIGAZIONE E ORGANISMI INTERNAZIONALI</w:t>
      </w:r>
      <w:r>
        <w:rPr>
          <w:color w:val="000000"/>
        </w:rPr>
        <w:t xml:space="preserve"> </w:t>
      </w:r>
    </w:p>
    <w:p w14:paraId="117826F2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497AC4F1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C5E94" w14:paraId="4EE9E10B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5E21FC8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FC5E94" w14:paraId="688C9138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7D6B555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XV – Controlla la conformità con i requisiti legislativi</w:t>
            </w:r>
          </w:p>
          <w:p w14:paraId="19B5A521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FC5E94" w14:paraId="25D496F7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73ABEDF4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6E0D02E3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7B035CE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FC5E94" w14:paraId="326E2482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0434C39E" w14:textId="77777777" w:rsidR="00FC5E94" w:rsidRDefault="0012024A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di qualità nel rispetto delle normative sulla sicurezza </w:t>
            </w:r>
          </w:p>
          <w:p w14:paraId="77412F54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AC1ACCB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30EA437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3BE9BDC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58E28EDA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467B640C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06B9EB84" w14:textId="77777777" w:rsidR="00FC5E94" w:rsidRDefault="0012024A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della gerarchia delle fonti del diritto diversificando tra fonti interne e fonti esterne</w:t>
            </w:r>
          </w:p>
          <w:p w14:paraId="258CE18D" w14:textId="77777777" w:rsidR="00FC5E94" w:rsidRDefault="0012024A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della collocazione del diritto della navigazione nell’ambito dell’ordinamento giuridico nazionale</w:t>
            </w:r>
          </w:p>
          <w:p w14:paraId="28B59359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C5E94" w14:paraId="15B73621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068F3304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3EA4D08F" w14:textId="77777777" w:rsidR="00FC5E94" w:rsidRDefault="0012024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Inglese</w:t>
            </w:r>
          </w:p>
          <w:p w14:paraId="53E1C8F4" w14:textId="77777777" w:rsidR="00FC5E94" w:rsidRDefault="0012024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Scienze della navigazione</w:t>
            </w:r>
          </w:p>
          <w:p w14:paraId="17E70BAA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C5E94" w14:paraId="27612D8D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0A43A6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FC5E94" w14:paraId="60862E7E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561D5389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E1A9C6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le principali caratteristiche del diritto della navigazione</w:t>
            </w:r>
          </w:p>
          <w:p w14:paraId="1DEE783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Descrivere i differenti organismi giuridici internazionali che regolano i sistemi di trasporto</w:t>
            </w:r>
          </w:p>
        </w:tc>
      </w:tr>
      <w:tr w:rsidR="00FC5E94" w14:paraId="1983F8F2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16B27C2E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5852B379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7BBFCB9" w14:textId="77777777" w:rsidR="00FC5E94" w:rsidRDefault="001202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 riconoscere le principali caratteristiche del diritto della navigazione </w:t>
            </w:r>
          </w:p>
          <w:p w14:paraId="01DB4843" w14:textId="77777777" w:rsidR="00FC5E94" w:rsidRDefault="001202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i diversi organismi giuridici internazionali e la relativa produzione normativa di settore</w:t>
            </w:r>
          </w:p>
          <w:p w14:paraId="546FD9FA" w14:textId="77777777" w:rsidR="00FC5E94" w:rsidRDefault="001202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applicare le normative nazionali ed internazionali ed trasporto marittimo</w:t>
            </w:r>
          </w:p>
          <w:p w14:paraId="620A2908" w14:textId="77777777" w:rsidR="00FC5E94" w:rsidRDefault="001202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il regime giuridico applicabile allo spazio marino  preso in considerazione</w:t>
            </w:r>
          </w:p>
          <w:p w14:paraId="3AD50740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402E1686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6F2157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FC5E94" w14:paraId="0CE7464A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4322F79C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2F81E8D9" w14:textId="77777777" w:rsidR="00FC5E94" w:rsidRDefault="001202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Fonti del diritto internazionale del sistema dei trasporti e della navigazione</w:t>
            </w:r>
          </w:p>
          <w:p w14:paraId="25CEAA1F" w14:textId="77777777" w:rsidR="00FC5E94" w:rsidRDefault="001202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Codice della navigazione</w:t>
            </w:r>
          </w:p>
          <w:p w14:paraId="04612036" w14:textId="77777777" w:rsidR="00FC5E94" w:rsidRDefault="001202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Organismi internazionali e normativa di settore prevista da Convenzioni internazionali, codici, leggi comunitarie e nazionali</w:t>
            </w:r>
          </w:p>
          <w:p w14:paraId="1D1D6CE5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3F13F7DB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1F804819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175A97F0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09839627" w14:textId="77777777" w:rsidR="00FC5E94" w:rsidRDefault="001202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del diritto della navigazione, sua collocazione e ambiti di applicazione</w:t>
            </w:r>
          </w:p>
          <w:p w14:paraId="1823FFFB" w14:textId="77777777" w:rsidR="00FC5E94" w:rsidRDefault="001202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Caratteristiche del diritto della navigazione: specialità, autonomia legislativa, autonomia giuridica, autonomia scientifica, unitarietà,  uniformità, origine</w:t>
            </w:r>
            <w:r>
              <w:rPr>
                <w:color w:val="000000"/>
              </w:rPr>
              <w:t xml:space="preserve"> consuetudinaria</w:t>
            </w:r>
          </w:p>
          <w:p w14:paraId="3820014C" w14:textId="77777777" w:rsidR="00FC5E94" w:rsidRDefault="001202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Gerarchia delle fonti del diritto della navigazione e loro analisi</w:t>
            </w:r>
          </w:p>
          <w:p w14:paraId="3EDE9488" w14:textId="77777777" w:rsidR="00FC5E94" w:rsidRDefault="001202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Fonti interne e fonti esterne </w:t>
            </w:r>
          </w:p>
          <w:p w14:paraId="7BF4E9AA" w14:textId="77777777" w:rsidR="00FC5E94" w:rsidRDefault="001202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Organismi internazionali: IMO,ILO, WHO, produzione normativa di settore in particolare le principali convenzioni IMO</w:t>
            </w:r>
          </w:p>
          <w:p w14:paraId="7DB50ACD" w14:textId="77777777" w:rsidR="00FC5E94" w:rsidRDefault="001202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UNCLOS: mare territoriale, zona contigua, zona archeologica, zona economica esclusiva, piattaforma continentale, alto mare</w:t>
            </w:r>
          </w:p>
          <w:p w14:paraId="256C57FB" w14:textId="77777777" w:rsidR="00FC5E94" w:rsidRDefault="001202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Diritto di passa</w:t>
            </w:r>
            <w:r>
              <w:rPr>
                <w:color w:val="000000"/>
              </w:rPr>
              <w:t>ggio inoffensivo, diritto di visita e diritto di inseguimento</w:t>
            </w:r>
          </w:p>
          <w:p w14:paraId="4877F540" w14:textId="77777777" w:rsidR="00FC5E94" w:rsidRDefault="001202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Il mare territoriale nell’ordinamento italiano: linea di base normale e linea di base diritta</w:t>
            </w:r>
          </w:p>
          <w:p w14:paraId="3D087383" w14:textId="77777777" w:rsidR="00FC5E94" w:rsidRDefault="001202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Normativa comunitaria e nazionale di settore</w:t>
            </w:r>
          </w:p>
          <w:p w14:paraId="08444B93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391A9B74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7C1861E6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4E70B07C" w14:textId="77777777" w:rsidR="00FC5E94" w:rsidRDefault="001202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Gerarchia delle fonti del diritto della navigazione</w:t>
            </w:r>
          </w:p>
          <w:p w14:paraId="542F6FAB" w14:textId="77777777" w:rsidR="00FC5E94" w:rsidRDefault="001202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Analisi delle diverse tipologie di fonti con particolare riguardo alle convenzioni IMO. </w:t>
            </w:r>
          </w:p>
          <w:p w14:paraId="3ADBDF2B" w14:textId="77777777" w:rsidR="00FC5E94" w:rsidRDefault="001202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Regime giuridico dei  mari</w:t>
            </w:r>
          </w:p>
          <w:p w14:paraId="200D4B9D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4CCA8DAD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FC5E94" w14:paraId="23190BE7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AA0C34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DF0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251C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40</w:t>
            </w:r>
          </w:p>
        </w:tc>
      </w:tr>
      <w:tr w:rsidR="00FC5E94" w14:paraId="375CB829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EA5C03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8905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66255A3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450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Settembre</w:t>
            </w:r>
          </w:p>
          <w:p w14:paraId="127AFA5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Ottobre</w:t>
            </w:r>
          </w:p>
          <w:p w14:paraId="12E3110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Novembre</w:t>
            </w:r>
          </w:p>
          <w:p w14:paraId="2C104A0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5A3C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Gennaio</w:t>
            </w:r>
          </w:p>
          <w:p w14:paraId="7598AE9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7D6F5BA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□</w:t>
            </w:r>
            <w:r>
              <w:rPr>
                <w:rFonts w:ascii="Garamond" w:eastAsia="Garamond" w:hAnsi="Garamond" w:cs="Garamond"/>
                <w:color w:val="000000"/>
              </w:rPr>
              <w:t xml:space="preserve">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074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58AD7D1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12A3F78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FC5E94" w14:paraId="2B744F4B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7B11D1DC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75ACE45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0FA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23DFD00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5C3CDCF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25F58E3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585E1E2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2DB7011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60B21AD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D50A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18CBCB4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5D41DD2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42CEC94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120CC95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0F95D87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029D30D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6368182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FC5E94" w14:paraId="181F41EC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2812ABAB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6F50742B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7C85868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72BC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41A774C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038611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1DF29FC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7FE8740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13B7149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719ECB8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73F3345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AD07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098CDC6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7BF0D7A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618CFE6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90870D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53DD9D2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77E2D21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53A2659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FC5E94" w14:paraId="20FCBAC4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0230B0D6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FC5E94" w14:paraId="33CAFB6A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1A95AD73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B2BE0C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5D5A2CF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677D073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428B3F0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72FE765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270DDBC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59B5B09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2A458E3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96EA92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355B313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7B660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hidden="0" allowOverlap="1" wp14:anchorId="6D23DE22" wp14:editId="140DAEF9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433070"/>
                      <wp:effectExtent l="0" t="0" r="0" b="0"/>
                      <wp:wrapNone/>
                      <wp:docPr id="1029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68228"/>
                                <a:ext cx="1582420" cy="423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B79DB73" w14:textId="77777777" w:rsidR="00FC5E94" w:rsidRDefault="0012024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1CE4B51A" w14:textId="77777777" w:rsidR="00FC5E94" w:rsidRDefault="00FC5E94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433070"/>
                      <wp:effectExtent b="0" l="0" r="0" t="0"/>
                      <wp:wrapNone/>
                      <wp:docPr id="1029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43307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470678C8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E5460C1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610AC9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28BB27CE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2EF2CDB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FC5E94" w14:paraId="7E5CF0AE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0D1BD6BF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A0A9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1C444AD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02F7349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60A8F48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CB97B9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02C7489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3237AE0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1D1D1E9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012B46A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410B57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6008E0FE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4E8A3421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6FEA5A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12253B47" w14:textId="77777777" w:rsidR="00FC5E94" w:rsidRDefault="001202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gerarchia delle fonti del diritto della navigazione</w:t>
            </w:r>
          </w:p>
          <w:p w14:paraId="395FDD33" w14:textId="77777777" w:rsidR="00FC5E94" w:rsidRDefault="001202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tipologie di fonti del settore marittimo in particolare le convenzioni IMO</w:t>
            </w:r>
          </w:p>
          <w:p w14:paraId="2DB5AF2A" w14:textId="77777777" w:rsidR="00FC5E94" w:rsidRDefault="0012024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regime giuridico dei mari</w:t>
            </w:r>
          </w:p>
          <w:p w14:paraId="2E0DBC98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C5E94" w14:paraId="05376E8A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4FAC5EF1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22C3284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33EC244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L’approfondimento consisterà nella produzione di l</w:t>
            </w:r>
            <w:r>
              <w:rPr>
                <w:color w:val="000000"/>
                <w:sz w:val="20"/>
                <w:szCs w:val="20"/>
              </w:rPr>
              <w:t>avori di ricerca su specifiche tematiche  d’interesse personale degli allievi i cui elaborati verranno proposti alla classe con un’esposizione orale.</w:t>
            </w:r>
          </w:p>
        </w:tc>
      </w:tr>
    </w:tbl>
    <w:p w14:paraId="3A985BF4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20C85D9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5778005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476FD69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3E47B77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F61414D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112DBE0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B89DCFD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Modulo N°2:  </w:t>
      </w:r>
      <w:r>
        <w:rPr>
          <w:rFonts w:ascii="Garamond" w:eastAsia="Garamond" w:hAnsi="Garamond" w:cs="Garamond"/>
          <w:b/>
          <w:color w:val="000000"/>
        </w:rPr>
        <w:t>ORDINAMENTO AMMINISTRATIVO DELLA NAVIGAZIONE</w:t>
      </w:r>
    </w:p>
    <w:p w14:paraId="22EFD417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65A84BB2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C5E94" w14:paraId="60FD9CB1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46CE799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FC5E94" w14:paraId="51173CFB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7C71106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XV – Controlla la conformità con le disposizioni di legge</w:t>
            </w:r>
          </w:p>
          <w:p w14:paraId="188F6B62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FC5E94" w14:paraId="13181204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038B53BC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19AE17F0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D77D835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FC5E94" w14:paraId="692F2830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6D90BE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0FA9B1B3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C12D646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9B328BF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4817DA22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51259C91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2AF44C6E" w14:textId="77777777" w:rsidR="00FC5E94" w:rsidRDefault="0012024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della collocazione del diritto della navigazione nell’ambito dell’ordinamento giuridico nazionale e delle sue peculiarità</w:t>
            </w:r>
          </w:p>
          <w:p w14:paraId="7924E50F" w14:textId="77777777" w:rsidR="00FC5E94" w:rsidRDefault="0012024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Utilizzo del codice della navigazione</w:t>
            </w:r>
          </w:p>
          <w:p w14:paraId="17746D22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14:paraId="688B6E6A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13AD715F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56182D55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788FEDB1" w14:textId="77777777" w:rsidR="00FC5E94" w:rsidRDefault="0012024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Scienze  della navigazione</w:t>
            </w:r>
          </w:p>
          <w:p w14:paraId="449E9B02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C5E94" w14:paraId="4599BED8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FE3149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FC5E94" w14:paraId="3E609AF6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363B4427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1AB26449" w14:textId="77777777" w:rsidR="00FC5E94" w:rsidRDefault="0012024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i differenti organismi giuridici nazionali che regolano i sistemi di trasporto</w:t>
            </w:r>
          </w:p>
          <w:p w14:paraId="48BE0F5F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61333814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1B2594FA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0BD10AD9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6D99DA01" w14:textId="77777777" w:rsidR="00FC5E94" w:rsidRDefault="0012024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gli organi dell’amministrazione della navigazione, le loro funzioni e gli atti di loro competenza</w:t>
            </w:r>
          </w:p>
          <w:p w14:paraId="424D5AE3" w14:textId="77777777" w:rsidR="00FC5E94" w:rsidRDefault="0012024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analizzare la specificità dei beni del demanio marittimo, il loro utilizzo e le loro vicissitudini;</w:t>
            </w:r>
          </w:p>
          <w:p w14:paraId="2CA4A07D" w14:textId="77777777" w:rsidR="00FC5E94" w:rsidRDefault="0012024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distinguere le diverse tipologie di porto e le funzioni delle autorità che operano all’interno</w:t>
            </w:r>
          </w:p>
          <w:p w14:paraId="42ADB613" w14:textId="77777777" w:rsidR="00FC5E94" w:rsidRDefault="0012024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distinguere le operazioni portuali, i servi</w:t>
            </w:r>
            <w:r>
              <w:rPr>
                <w:color w:val="000000"/>
              </w:rPr>
              <w:t>zi portuali e i servizi tecnico-nautici</w:t>
            </w:r>
          </w:p>
          <w:p w14:paraId="1D2EC880" w14:textId="77777777" w:rsidR="00FC5E94" w:rsidRDefault="0012024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acquisire un corretto metodo di consultazione delle  fonti  documentarie  e  dei  testi  da usare e consultare</w:t>
            </w:r>
          </w:p>
          <w:p w14:paraId="26CEA8EC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372CA13A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4FB490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FC5E94" w14:paraId="26233528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4631FD32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06CB39D0" w14:textId="77777777" w:rsidR="00FC5E94" w:rsidRDefault="001202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Organizzazione giuridica della navigazione</w:t>
            </w:r>
          </w:p>
          <w:p w14:paraId="3D75A173" w14:textId="77777777" w:rsidR="00FC5E94" w:rsidRDefault="001202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Strutture e correlazioni tra i porti ed interporti</w:t>
            </w:r>
          </w:p>
          <w:p w14:paraId="64BF9E27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32C835DF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2FBB0418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3498C7EA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643A2283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Amministrazione della navigazione: diretta, indiretta ed esercizio privato di pubbliche funzioni e di pubblici servizi</w:t>
            </w:r>
          </w:p>
          <w:p w14:paraId="254AF8DF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Tipologia di organi: attivi, consultivi con relativi pareri</w:t>
            </w:r>
          </w:p>
          <w:p w14:paraId="483A5176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Organi dell’amministrazione attiva centrale e periferica con  relative circos</w:t>
            </w:r>
            <w:r>
              <w:rPr>
                <w:color w:val="000000"/>
              </w:rPr>
              <w:t>crizioni amministrative e atti di competenza</w:t>
            </w:r>
          </w:p>
          <w:p w14:paraId="0053FC87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Demanio marittimo: nozione, caratteristiche e beni che vi fanno parte</w:t>
            </w:r>
          </w:p>
          <w:p w14:paraId="310B86A9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Procedimenti inerenti alle vicissitudini del demanio marittimo</w:t>
            </w:r>
          </w:p>
          <w:p w14:paraId="2239BD0B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Amministrazione dei beni demaniali</w:t>
            </w:r>
          </w:p>
          <w:p w14:paraId="1C1600FA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Le concessioni demaniali e la disciplina del rapporto concessorio</w:t>
            </w:r>
          </w:p>
          <w:p w14:paraId="13303038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Porto: definizione e classificazione</w:t>
            </w:r>
          </w:p>
          <w:p w14:paraId="3AB68D11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Gestione dei porti: autorità marittima e autorità di sistema portuale</w:t>
            </w:r>
          </w:p>
          <w:p w14:paraId="084E8BE9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 dell’autorità di sistema portuale: nozioni essenziali sulle funzioni</w:t>
            </w:r>
          </w:p>
          <w:p w14:paraId="485A2F1A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Operazioni portuali, servizi portuali, impresa terminalista</w:t>
            </w:r>
          </w:p>
          <w:p w14:paraId="46CDE0E5" w14:textId="77777777" w:rsidR="00FC5E94" w:rsidRDefault="001202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L’attività amministrativa e la polizia nei porti, servizi tecnico-nautici</w:t>
            </w:r>
          </w:p>
          <w:p w14:paraId="633992F9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200DA6FD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45C77691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101C6841" w14:textId="77777777" w:rsidR="00FC5E94" w:rsidRDefault="0012024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 dell’amministrazione della navigazione</w:t>
            </w:r>
          </w:p>
          <w:p w14:paraId="2CD83558" w14:textId="77777777" w:rsidR="00FC5E94" w:rsidRDefault="0012024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Demanio marittimo e concessioni demaniali</w:t>
            </w:r>
          </w:p>
          <w:p w14:paraId="7D833F7D" w14:textId="77777777" w:rsidR="00FC5E94" w:rsidRDefault="0012024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Porto: definizione, classificazione e gestione</w:t>
            </w:r>
          </w:p>
          <w:p w14:paraId="2F27AC67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46CBFAE5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FC5E94" w14:paraId="3A7274E8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650BDE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513F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C068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4</w:t>
            </w:r>
          </w:p>
        </w:tc>
      </w:tr>
      <w:tr w:rsidR="00FC5E94" w14:paraId="36D13621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FBAD4A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D4E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547ADC9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25E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04B1424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1F49319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5600D28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9B9B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3C75B90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0B4839F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41B8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06002A3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4F60275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FC5E94" w14:paraId="4E905556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13165274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5A65E40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1A7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5D052D7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2AAE85A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044A137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28D96DC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385487C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1DEA21D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0ACD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129474E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6454800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18BF7CE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0527A24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5C88668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77D193B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3E1BE0E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FC5E94" w14:paraId="676473AE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1226A667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6FCA6EF1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440F163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4808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205332C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2D0BD1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CF1D97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52F9A9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7E4A8B3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0CCAA5B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5543A83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8CD7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440F7B1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20F1FCE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7E809BD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26E8349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3537683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29A6DA0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01063D2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FC5E94" w14:paraId="64E69FAF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13B6BFBE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FC5E94" w14:paraId="44E6109C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7E88D73C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2B610C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7DADB4F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0C048DC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25BFAC3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53D7D5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62FD31A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26672B2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5EEFAD0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2BCD6C9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02CB932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DA19A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hidden="0" allowOverlap="1" wp14:anchorId="6BFE3A3B" wp14:editId="130CD6FB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86080"/>
                      <wp:effectExtent l="0" t="0" r="0" b="0"/>
                      <wp:wrapNone/>
                      <wp:docPr id="1028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91723"/>
                                <a:ext cx="1582420" cy="376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F4772DF" w14:textId="77777777" w:rsidR="00FC5E94" w:rsidRDefault="0012024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730ECF4B" w14:textId="77777777" w:rsidR="00FC5E94" w:rsidRDefault="00FC5E94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86080"/>
                      <wp:effectExtent b="0" l="0" r="0" t="0"/>
                      <wp:wrapNone/>
                      <wp:docPr id="102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860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08165877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C4C73F8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C09C76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1E33EA94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48BAE4B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FC5E94" w14:paraId="0877BF2A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4918045E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C5FD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0DA699B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B63178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338A9C6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679E75F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451FF26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5A2137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65D14D6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992BFB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D250EE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5392A7F1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74ED55BE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FFF4FA9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109FE72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Produzione, sia nella forma scritta che in quella orale, di performance chiare e lineari riguardanti: </w:t>
            </w:r>
          </w:p>
          <w:p w14:paraId="6172A392" w14:textId="77777777" w:rsidR="00FC5E94" w:rsidRDefault="0012024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 dell’amministrazione della navigazione</w:t>
            </w:r>
          </w:p>
          <w:p w14:paraId="05F9F5EE" w14:textId="77777777" w:rsidR="00FC5E94" w:rsidRDefault="0012024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Demanio marittimo e concessioni demaniali</w:t>
            </w:r>
          </w:p>
          <w:p w14:paraId="615C4F6D" w14:textId="77777777" w:rsidR="00FC5E94" w:rsidRDefault="0012024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Porto: definizione, classificazione e gestione</w:t>
            </w:r>
          </w:p>
          <w:p w14:paraId="2D5FE9A2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C5E94" w14:paraId="0E233404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3C41BC51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40E23B4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4207FF8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L’approfondimento consisterà nella produzione di l</w:t>
            </w:r>
            <w:r>
              <w:rPr>
                <w:color w:val="000000"/>
                <w:sz w:val="16"/>
                <w:szCs w:val="16"/>
              </w:rPr>
              <w:t>avori di ricerca su specifiche tematiche  d’interesse personale degli allievi i cui elaborati verranno proposti alla classe con un’esposizione orale.</w:t>
            </w:r>
          </w:p>
          <w:p w14:paraId="47E3EDB6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78F2935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A2CD974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59F1314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2ABBB3C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13AC5E4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6C66E2E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57DB6F3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2E05E39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lastRenderedPageBreak/>
        <w:t>Modulo N°3:</w:t>
      </w:r>
      <w:r>
        <w:rPr>
          <w:rFonts w:ascii="Garamond" w:eastAsia="Garamond" w:hAnsi="Garamond" w:cs="Garamond"/>
          <w:b/>
          <w:color w:val="000000"/>
        </w:rPr>
        <w:t xml:space="preserve"> NAVE: QUALIFICAZIONE GIURIDICA E REGIME AMMINISTRATIVO</w:t>
      </w:r>
      <w:r>
        <w:rPr>
          <w:color w:val="000000"/>
        </w:rPr>
        <w:t xml:space="preserve"> </w:t>
      </w:r>
    </w:p>
    <w:p w14:paraId="748B714B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24863A1E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4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C5E94" w14:paraId="0E85344D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C7062A5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FC5E94" w14:paraId="19582365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2734381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XV– Controlla la conformità con le disposizioni di legge</w:t>
            </w:r>
          </w:p>
        </w:tc>
      </w:tr>
      <w:tr w:rsidR="00FC5E94" w14:paraId="2E235815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6552A225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48FC4E37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CF6F406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FC5E94" w14:paraId="3CA02BDC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2516B2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cenni sulle Convenzioni internazionali sul settore marittimo e sulle normative vigenti </w:t>
            </w:r>
          </w:p>
          <w:p w14:paraId="5887679E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D9EECB1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4EB2967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56DBB4C6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67BF6FC9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36305C3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della classificazione degli oggetti del diritto</w:t>
            </w:r>
          </w:p>
          <w:p w14:paraId="784DAC6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dell’organizzazione amministrativa della navigazione</w:t>
            </w:r>
          </w:p>
        </w:tc>
      </w:tr>
      <w:tr w:rsidR="00FC5E94" w14:paraId="407122AE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45B2E32D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7AC2079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Scienze della navigazione</w:t>
            </w:r>
          </w:p>
          <w:p w14:paraId="00AB232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Meccanica e macchine</w:t>
            </w:r>
          </w:p>
        </w:tc>
      </w:tr>
      <w:tr w:rsidR="00FC5E94" w14:paraId="3BB081F9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F4C42E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FC5E94" w14:paraId="3A5E3531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7D76FB4E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893D4F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Descrivere, identificare le tipologie dei documenti di bordo e la corretta tenuta degli stessi ai fini dell’efficacia probatoria</w:t>
            </w:r>
          </w:p>
        </w:tc>
      </w:tr>
      <w:tr w:rsidR="00FC5E94" w14:paraId="4B2C817A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4B2B5F62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59F7107C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64055B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la qualificazione giuridica della nave e il suo regime amministrativo</w:t>
            </w:r>
          </w:p>
          <w:p w14:paraId="1D2614B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09"/>
              </w:tabs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distinguere i modi d’acquisto della proprietà navale</w:t>
            </w:r>
          </w:p>
          <w:p w14:paraId="58F4ACD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09"/>
              </w:tabs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confrontare  i modi d’acquisto di diritto comune e quelli di diritto speciale</w:t>
            </w:r>
          </w:p>
          <w:p w14:paraId="3D973BC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09"/>
              </w:tabs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gli elementi di individuazione della nave</w:t>
            </w:r>
          </w:p>
          <w:p w14:paraId="6DDBFC7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indicare la procedura di immatricolazione e di cancellazione delle navi dai registri di iscrizione</w:t>
            </w:r>
          </w:p>
          <w:p w14:paraId="2B70E7D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</w:t>
            </w:r>
            <w:r>
              <w:rPr>
                <w:color w:val="000000"/>
              </w:rPr>
              <w:t>escrivere le diverse tipologie di documenti di bordo</w:t>
            </w:r>
          </w:p>
          <w:p w14:paraId="257A62E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applicare le norme per la regolare tenuta dei libri di bordo</w:t>
            </w:r>
          </w:p>
          <w:p w14:paraId="6330AB7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identificare l’efficacia probatoria delle annotazioni apposte sui documenti</w:t>
            </w:r>
          </w:p>
          <w:p w14:paraId="5D2F61A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acquisire un corretto metodo di consultazione de</w:t>
            </w:r>
            <w:r>
              <w:rPr>
                <w:color w:val="000000"/>
              </w:rPr>
              <w:t>lle  fonti  documentarie  e  dei  testi  da usare e consultare</w:t>
            </w:r>
          </w:p>
          <w:p w14:paraId="7DC31B6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Saper documentare l’attività individuale e di gruppo relativa a situazioni professionali</w:t>
            </w:r>
          </w:p>
          <w:p w14:paraId="41007F9D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34773B40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56FFE3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FC5E94" w14:paraId="2F538CBF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5D28C87C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00A02CC5" w14:textId="77777777" w:rsidR="00FC5E94" w:rsidRDefault="0012024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La qualificazione giuridica della nave e il suo regime amministrativo</w:t>
            </w:r>
          </w:p>
          <w:p w14:paraId="1BE22E60" w14:textId="77777777" w:rsidR="00FC5E94" w:rsidRDefault="0012024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Documenti di bordo</w:t>
            </w:r>
          </w:p>
          <w:p w14:paraId="4F19E42E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054F5A52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334B36E2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6785381E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7CC6C3B1" w14:textId="77777777" w:rsidR="00FC5E94" w:rsidRDefault="0012024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di nave e di galleggiante, distinzione tra diverse tipologie di navi, nave come bene composto e come bene mobile registrato</w:t>
            </w:r>
          </w:p>
          <w:p w14:paraId="704E539C" w14:textId="77777777" w:rsidR="00FC5E94" w:rsidRDefault="0012024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acquisto della proprietà navale a titolo originario e a titolo derivativo, contratto di compravendita di nave-memora</w:t>
            </w:r>
            <w:r>
              <w:rPr>
                <w:color w:val="000000"/>
              </w:rPr>
              <w:t>ndum of agreement</w:t>
            </w:r>
          </w:p>
          <w:p w14:paraId="07EA80AF" w14:textId="77777777" w:rsidR="00FC5E94" w:rsidRDefault="0012024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Comproprietà navale: nozione, uso e disponibilità della quota, amministrazione della nave comune, scioglimento della comunione, nozioni sulla società di armamento tra comproprietari</w:t>
            </w:r>
          </w:p>
          <w:p w14:paraId="4A577A89" w14:textId="77777777" w:rsidR="00FC5E94" w:rsidRDefault="0012024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Elementi di individuazione della nave</w:t>
            </w:r>
          </w:p>
          <w:p w14:paraId="1904C61E" w14:textId="77777777" w:rsidR="00FC5E94" w:rsidRDefault="0012024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Nazionalità e rela</w:t>
            </w:r>
            <w:r>
              <w:rPr>
                <w:color w:val="000000"/>
              </w:rPr>
              <w:t>tivi requisiti, ammissione e abilitazione alla navigazione, registro bare-boat, cancellazione dai registri di iscrizione.</w:t>
            </w:r>
          </w:p>
          <w:p w14:paraId="67313966" w14:textId="77777777" w:rsidR="00FC5E94" w:rsidRDefault="0012024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Navigabilità, carte di bordo e libri di bordo</w:t>
            </w:r>
          </w:p>
          <w:p w14:paraId="6673E95A" w14:textId="77777777" w:rsidR="00FC5E94" w:rsidRDefault="0012024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Norme per la regolare tenuta dei documenti di bordo e loro efficacia probatoria</w:t>
            </w:r>
          </w:p>
          <w:p w14:paraId="07CBFFBC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381E8133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1138EA6B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5048B8A1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10DFE53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e distinzione tra nave e galleggiante</w:t>
            </w:r>
          </w:p>
          <w:p w14:paraId="7869119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Procedure di iscrizione e di cancellazione della nave dai pubblici registri</w:t>
            </w:r>
          </w:p>
          <w:p w14:paraId="71D4F14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Documenti di bordo, regolare tenuta e loro efficacia probatoria</w:t>
            </w:r>
          </w:p>
        </w:tc>
      </w:tr>
    </w:tbl>
    <w:p w14:paraId="4F85B235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5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FC5E94" w14:paraId="79F23ABA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1282F4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6B37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FBA7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18</w:t>
            </w:r>
          </w:p>
        </w:tc>
      </w:tr>
      <w:tr w:rsidR="00FC5E94" w14:paraId="7FD7412B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C3F24C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29D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19D9345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8A9A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1351DF5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46F1B46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41A24B7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6576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61C4846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4B17554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F6F0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0BC3C23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Maggio</w:t>
            </w:r>
          </w:p>
          <w:p w14:paraId="6FFE0A1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FC5E94" w14:paraId="4F93D6B7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7FEBFCD6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1B4FA57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91B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340576D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50AC1F7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7641105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391DE00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4A29674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316CFC9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3243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0831396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6373318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5540DCF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3469DB6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5C12D8E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5A190C7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0E00CBB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FC5E94" w14:paraId="45B8A92A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75A0FCE6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3C12FC44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3F64882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83D0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32D8F40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8159D6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0439C5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CD139A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419D8E2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5463C8F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132147D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CD6E4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2A0C609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37E2C07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10FDC0B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1D6E42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5BFB846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5B146F4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39FD4E7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FC5E94" w14:paraId="6FDAAE8E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583E79FC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FC5E94" w14:paraId="0CD93CD3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33678103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4CD1AA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6B83FB8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154CD0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6D4B13F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74498C9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44A3A75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5556B14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79DAFAD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60D6812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0253D5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AEDE5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hidden="0" allowOverlap="1" wp14:anchorId="6EA0243C" wp14:editId="109B15D3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07975"/>
                      <wp:effectExtent l="0" t="0" r="0" b="0"/>
                      <wp:wrapNone/>
                      <wp:docPr id="103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30775"/>
                                <a:ext cx="1582420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F31E2C5" w14:textId="77777777" w:rsidR="00FC5E94" w:rsidRDefault="0012024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77D57D86" w14:textId="77777777" w:rsidR="00FC5E94" w:rsidRDefault="00FC5E94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07975"/>
                      <wp:effectExtent b="0" l="0" r="0" t="0"/>
                      <wp:wrapNone/>
                      <wp:docPr id="1031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079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029572A0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A5B19A0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3F2DD2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271A08D7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2CD1EF6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FC5E94" w14:paraId="28070958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04FF234D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A00B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73FB1C3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0377383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0FB53B2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36ABFDF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7F3AFE0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152FC10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640C56B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868C23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F08ABA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023EA5E3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30FE2D8A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225E64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Produzione, sia nella forma scritta che in quella orale, di performance chiare e lineari riguardanti: </w:t>
            </w:r>
          </w:p>
          <w:p w14:paraId="230098F3" w14:textId="77777777" w:rsidR="00FC5E94" w:rsidRDefault="0012024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nozione e qualificazione della nave</w:t>
            </w:r>
          </w:p>
          <w:p w14:paraId="68F8639D" w14:textId="77777777" w:rsidR="00FC5E94" w:rsidRDefault="0012024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elementi di individuazione della nave, nazionalità, procedure di iscrizione e di cancellazione della nave dai pubblic</w:t>
            </w:r>
            <w:r>
              <w:rPr>
                <w:color w:val="000000"/>
                <w:sz w:val="16"/>
                <w:szCs w:val="16"/>
              </w:rPr>
              <w:t>i registri</w:t>
            </w:r>
          </w:p>
          <w:p w14:paraId="1C1266DD" w14:textId="77777777" w:rsidR="00FC5E94" w:rsidRDefault="0012024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diversa tipologia della documentazione di bordo: regolare tenuta della stessa e sua efficacia probatoria</w:t>
            </w:r>
          </w:p>
          <w:p w14:paraId="0900E42F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C5E94" w14:paraId="033F97D7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386E9B87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06516E6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7D042BA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L’approfondimento consisterà nella produzione di l</w:t>
            </w:r>
            <w:r>
              <w:rPr>
                <w:color w:val="000000"/>
                <w:sz w:val="16"/>
                <w:szCs w:val="16"/>
              </w:rPr>
              <w:t>avori di ricerca su specifiche tematiche  d’interesse personale degli allievi i cui elaborati verranno proposti alla classe con un’esposizione orale.</w:t>
            </w:r>
          </w:p>
          <w:p w14:paraId="240C3450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9B0BE1D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C7A426B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952D239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95795E5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01E4D14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57FDEC4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591F19F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AEF5A98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427" w:hanging="2"/>
        <w:rPr>
          <w:rFonts w:ascii="Garamond" w:eastAsia="Garamond" w:hAnsi="Garamond" w:cs="Garamond"/>
          <w:color w:val="000000"/>
        </w:rPr>
      </w:pPr>
      <w:r>
        <w:rPr>
          <w:color w:val="000000"/>
        </w:rPr>
        <w:lastRenderedPageBreak/>
        <w:t xml:space="preserve">Modulo N°4:  </w:t>
      </w:r>
      <w:r>
        <w:rPr>
          <w:rFonts w:ascii="Garamond" w:eastAsia="Garamond" w:hAnsi="Garamond" w:cs="Garamond"/>
          <w:b/>
          <w:color w:val="000000"/>
        </w:rPr>
        <w:t>ESERCIZIO DELLA NAVIGAZIONE: ARMATORE E SUOI AUSILIARI</w:t>
      </w:r>
    </w:p>
    <w:p w14:paraId="4B73608B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Funzione: meccanica navale a livello operativo</w:t>
      </w:r>
    </w:p>
    <w:p w14:paraId="244BA0EB" w14:textId="77777777" w:rsidR="00FC5E94" w:rsidRDefault="001202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04692AD8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FC5E94" w14:paraId="1DA9E591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19D6148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FC5E94" w14:paraId="51A1F4F3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19D8C06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 – Mantiene una sicura guardia in macchina</w:t>
            </w:r>
          </w:p>
          <w:p w14:paraId="2B5AB36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XV– Controlla la conformità con i requisiti legislativi</w:t>
            </w:r>
          </w:p>
        </w:tc>
      </w:tr>
      <w:tr w:rsidR="00FC5E94" w14:paraId="018C7660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4D3EE964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6E8A87A2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04A5FA93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FC5E94" w14:paraId="6BDDC2DA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538239F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controllare e gestire il funzionamento dei diversi componenti di uno specifico mezzo di trasporto</w:t>
            </w:r>
          </w:p>
          <w:p w14:paraId="45F6605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intervenire in fase di programmazione, gestione e controllo della manutenzione di apparati e impianti marittimi</w:t>
            </w:r>
          </w:p>
          <w:p w14:paraId="17DBD35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operare nel sistema qualità nel rispetto delle normative sulla sicurezza</w:t>
            </w:r>
          </w:p>
          <w:p w14:paraId="674848C3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B1C4099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5E70CAA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6B7F5CCE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35891105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665EAEF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dei soggetti del diritto, dei diritti reali e dei diritti di obbligazione</w:t>
            </w:r>
          </w:p>
          <w:p w14:paraId="596B959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 concetto d’impresa</w:t>
            </w:r>
          </w:p>
          <w:p w14:paraId="0F55D95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dei documenti di bordo</w:t>
            </w:r>
          </w:p>
        </w:tc>
      </w:tr>
      <w:tr w:rsidR="00FC5E94" w14:paraId="01F14762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10183D41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0CF2A82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Scienze della navigazione</w:t>
            </w:r>
          </w:p>
          <w:p w14:paraId="542A9DB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Meccanica e macchine</w:t>
            </w:r>
          </w:p>
        </w:tc>
      </w:tr>
      <w:tr w:rsidR="00FC5E94" w14:paraId="22E185DA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204C1C2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FC5E94" w14:paraId="239AA991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40D8B9B6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55959D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assumere comportamenti consoni al rispetto delle funzioni ricoperte</w:t>
            </w:r>
          </w:p>
          <w:p w14:paraId="5FD7E44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analizzare i principi della tenuta di una guardia di navigazione</w:t>
            </w:r>
          </w:p>
          <w:p w14:paraId="785D052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saper tenere correttamente il giornale di macchina</w:t>
            </w:r>
          </w:p>
        </w:tc>
      </w:tr>
      <w:tr w:rsidR="00FC5E94" w14:paraId="0FBFC163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7F67ECC6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50F3649C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2467981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sapersi orientare nella normativa civilistica, commerciale e speciale</w:t>
            </w:r>
          </w:p>
          <w:p w14:paraId="3542F8B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identificare la figura del proprietario e quella dell’armatore</w:t>
            </w:r>
          </w:p>
          <w:p w14:paraId="654C1AB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distinguere tra il concetto d’impresa di navigazione ed esercizio della navigazione</w:t>
            </w:r>
          </w:p>
          <w:p w14:paraId="33AA761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gli ausiliari dell’armatore a bordo della nave e a terra</w:t>
            </w:r>
          </w:p>
          <w:p w14:paraId="2D820BE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le f</w:t>
            </w:r>
            <w:r>
              <w:rPr>
                <w:color w:val="000000"/>
              </w:rPr>
              <w:t>unzioni e le responsabilità del raccomandatario, del comandante e dell’equipaggio</w:t>
            </w:r>
          </w:p>
          <w:p w14:paraId="710E8C4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acquisire un corretto metodo di consultazione delle  fonti  documentarie  e  dei  testi  da usare e consultare;</w:t>
            </w:r>
          </w:p>
          <w:p w14:paraId="562976C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saper documentare l’attività individuale e di gruppo rel</w:t>
            </w:r>
            <w:r>
              <w:rPr>
                <w:color w:val="000000"/>
              </w:rPr>
              <w:t>ativa a situazioni professionali</w:t>
            </w:r>
          </w:p>
        </w:tc>
      </w:tr>
      <w:tr w:rsidR="00FC5E94" w14:paraId="7A5A5961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A6AB2C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FC5E94" w14:paraId="0F262330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7723E88E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379D756A" w14:textId="77777777" w:rsidR="00FC5E94" w:rsidRDefault="0012024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Poteri, funzioni, obblighi del comandante della nave</w:t>
            </w:r>
          </w:p>
          <w:p w14:paraId="2EAE37A7" w14:textId="77777777" w:rsidR="00FC5E94" w:rsidRDefault="0012024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Documenti legali e amministrativi di bordo</w:t>
            </w:r>
          </w:p>
          <w:p w14:paraId="6C99DAD5" w14:textId="77777777" w:rsidR="00FC5E94" w:rsidRDefault="0012024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Tenuta dei giornali di macchina</w:t>
            </w:r>
          </w:p>
          <w:p w14:paraId="656CFD0F" w14:textId="77777777" w:rsidR="00FC5E94" w:rsidRDefault="0012024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Obblighi dell’equipaggio</w:t>
            </w:r>
          </w:p>
          <w:p w14:paraId="21352701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4DE457A3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4520A966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110F9A67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1EA32DEC" w14:textId="77777777" w:rsidR="00FC5E94" w:rsidRDefault="0012024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Esercizio della nave e proprietà della nave.</w:t>
            </w:r>
          </w:p>
          <w:p w14:paraId="75257BAA" w14:textId="77777777" w:rsidR="00FC5E94" w:rsidRDefault="0012024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Figura dell’armatore e del proprietario, dichiarazione di armatore, responsabilità dell’armatore e limitazione del debito dell’armatore nel codice della navigazione e sua procedura. </w:t>
            </w:r>
          </w:p>
          <w:p w14:paraId="3A062D28" w14:textId="77777777" w:rsidR="00FC5E94" w:rsidRDefault="0012024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Società d’armamento: peculia</w:t>
            </w:r>
            <w:r>
              <w:rPr>
                <w:color w:val="000000"/>
              </w:rPr>
              <w:t>rità e amministrazione.</w:t>
            </w:r>
          </w:p>
          <w:p w14:paraId="19FF2FE0" w14:textId="77777777" w:rsidR="00FC5E94" w:rsidRDefault="0012024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Gli ausiliari dell’armatore: il raccomandatario marittimo, il comandante della nave e l’equipaggio</w:t>
            </w:r>
          </w:p>
          <w:p w14:paraId="6DDC5DC5" w14:textId="77777777" w:rsidR="00FC5E94" w:rsidRDefault="0012024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Cenni sui contratti di lavoro </w:t>
            </w:r>
          </w:p>
          <w:p w14:paraId="3A062DA7" w14:textId="77777777" w:rsidR="00FC5E94" w:rsidRDefault="0012024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Poteri, funzioni e obblighi del comandante della nave sia di carattere pubblicistico che carattere privatistico</w:t>
            </w:r>
          </w:p>
          <w:p w14:paraId="1A12267A" w14:textId="77777777" w:rsidR="00FC5E94" w:rsidRDefault="0012024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Norme per la tenuta dei documenti di bordo ed efficacia probatoria delle annotazioni</w:t>
            </w:r>
          </w:p>
          <w:p w14:paraId="455AE2BF" w14:textId="77777777" w:rsidR="00FC5E94" w:rsidRDefault="0012024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Obblighi dell’equipaggio</w:t>
            </w:r>
          </w:p>
          <w:p w14:paraId="4AB99DB7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FC5E94" w14:paraId="332AB866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4C02E01B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255C481F" w14:textId="77777777" w:rsidR="00FC5E94" w:rsidRDefault="0012024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Distinzione tra la figura del proprietario e quella dell’armatore e relative responsabilità</w:t>
            </w:r>
          </w:p>
          <w:p w14:paraId="60479EB5" w14:textId="77777777" w:rsidR="00FC5E94" w:rsidRDefault="0012024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Funzioni e responsabilità degli ausiliari dell’armatore</w:t>
            </w:r>
          </w:p>
          <w:p w14:paraId="36A0709A" w14:textId="77777777" w:rsidR="00FC5E94" w:rsidRDefault="0012024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Documenti legali e amministrativi di bordo</w:t>
            </w:r>
          </w:p>
          <w:p w14:paraId="440C9E89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08F0F79A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7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FC5E94" w14:paraId="057E426C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577A8E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5687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6412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4</w:t>
            </w:r>
          </w:p>
        </w:tc>
      </w:tr>
      <w:tr w:rsidR="00FC5E94" w14:paraId="463A97A4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C6E720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D91D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2BEFB49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F475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6790A99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33C6457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5864CB7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F56A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6C0BE8C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1FEE2FA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E76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6AABA2A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558ABB2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Giugno</w:t>
            </w:r>
          </w:p>
        </w:tc>
      </w:tr>
      <w:tr w:rsidR="00FC5E94" w14:paraId="19790AE0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50D84B90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14D7BD1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C74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21B0663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074DD08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4F468E2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60C7912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631981F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649B4B3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1C4E4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3D0B29F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70566323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3D26379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7E2E874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5A085AD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0D922F8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3C36B2E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FC5E94" w14:paraId="0005868D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53A30280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2FA3BB26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374F61B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A8A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394AEBD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A46354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277AC8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422A3E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3FF71EE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066A388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3408338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D34E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44D4707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24EB758D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78096069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1AC4933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025023D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577C6CF6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5B6D027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FC5E94" w14:paraId="0D3F4970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6F077C7A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FC5E94" w14:paraId="5CA63CD7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4FF10B5A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4D685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4DA8B9F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5CF3AD1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0B43720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357AD60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4472AA8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E05F0C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44F2474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1DA436F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3FDE98D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99955E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hidden="0" allowOverlap="1" wp14:anchorId="28A0F53A" wp14:editId="41EC870A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24485"/>
                      <wp:effectExtent l="0" t="0" r="0" b="0"/>
                      <wp:wrapNone/>
                      <wp:docPr id="1030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22520"/>
                                <a:ext cx="1582420" cy="314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CB6797" w14:textId="77777777" w:rsidR="00FC5E94" w:rsidRDefault="0012024A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1A51F5A8" w14:textId="77777777" w:rsidR="00FC5E94" w:rsidRDefault="00FC5E94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24485"/>
                      <wp:effectExtent b="0" l="0" r="0" t="0"/>
                      <wp:wrapNone/>
                      <wp:docPr id="1030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244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74041242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B3D6962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E00B4B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5C226BDC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</w:p>
          <w:p w14:paraId="2F90AF6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Nella valutazione finale si tiene conto del profitto, dell’impegno, della partecipazione attiva alle lezioni e dei progressi compiuti dall’allievo nella sua attività di apprendimento</w:t>
            </w:r>
          </w:p>
        </w:tc>
      </w:tr>
      <w:tr w:rsidR="00FC5E94" w14:paraId="334F6553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7078DAF2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63C2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7723EE67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387DD8F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4EF90C70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35F11E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313FD138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84A318C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515BD0C1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A64508F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734CA1" w14:textId="77777777" w:rsidR="00FC5E94" w:rsidRDefault="00FC5E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FC5E94" w14:paraId="6FB194C0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07EEFAC5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6171455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Produzione, sia nella forma scritta che in quella orale, di performance chiare e lineari riguardanti: </w:t>
            </w:r>
          </w:p>
          <w:p w14:paraId="6E73E6A1" w14:textId="77777777" w:rsidR="00FC5E94" w:rsidRDefault="001202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differenza giuridica tra proprietario ed armatore e relative responsabilità</w:t>
            </w:r>
          </w:p>
          <w:p w14:paraId="6F63A21A" w14:textId="77777777" w:rsidR="00FC5E94" w:rsidRDefault="001202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ausiliari dell’armatore: figure, funzioni e responsabilità</w:t>
            </w:r>
          </w:p>
          <w:p w14:paraId="5C4EA3C6" w14:textId="77777777" w:rsidR="00FC5E94" w:rsidRDefault="001202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norme sulla regola</w:t>
            </w:r>
            <w:r>
              <w:rPr>
                <w:color w:val="000000"/>
                <w:sz w:val="18"/>
                <w:szCs w:val="18"/>
              </w:rPr>
              <w:t>re tenuta dei documenti di bordo</w:t>
            </w:r>
          </w:p>
          <w:p w14:paraId="4FEDC529" w14:textId="77777777" w:rsidR="00FC5E94" w:rsidRDefault="00FC5E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C5E94" w14:paraId="60FE12CB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0AA4884F" w14:textId="77777777" w:rsidR="00FC5E94" w:rsidRDefault="0012024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650DEA3B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61DFC7BA" w14:textId="77777777" w:rsidR="00FC5E94" w:rsidRDefault="001202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L’approfondimento consisterà nella produzione di lavori di ricerca su specifiche tematiche  d’interesse personale degli allievi i cui elaborati verranno proposti alla classe con un’esposizione orale.</w:t>
            </w:r>
          </w:p>
        </w:tc>
      </w:tr>
    </w:tbl>
    <w:p w14:paraId="0E23E8FD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2ADF353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65C8095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5BDAE45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8D35440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E53E428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364A242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6B17BA4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1E12F3A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6DD8615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B6DAE72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9CA0497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61EB8AC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39F7195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6D52577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A0B12E3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5E03AF8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643383F" w14:textId="77777777" w:rsidR="00FC5E94" w:rsidRDefault="00FC5E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sectPr w:rsidR="00FC5E9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7282"/>
      <w:pgMar w:top="1152" w:right="1008" w:bottom="720" w:left="100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237F5" w14:textId="77777777" w:rsidR="00000000" w:rsidRDefault="0012024A">
      <w:pPr>
        <w:spacing w:line="240" w:lineRule="auto"/>
        <w:ind w:left="0" w:hanging="2"/>
      </w:pPr>
      <w:r>
        <w:separator/>
      </w:r>
    </w:p>
  </w:endnote>
  <w:endnote w:type="continuationSeparator" w:id="0">
    <w:p w14:paraId="2546011A" w14:textId="77777777" w:rsidR="00000000" w:rsidRDefault="0012024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verlock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94C91" w14:textId="77777777" w:rsidR="00FC5E94" w:rsidRDefault="00FC5E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903C" w14:textId="77777777" w:rsidR="00FC5E94" w:rsidRDefault="001202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0D16" w14:textId="77777777" w:rsidR="00FC5E94" w:rsidRDefault="001202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43A40126" w14:textId="77777777" w:rsidR="00FC5E94" w:rsidRDefault="00FC5E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F88EC" w14:textId="77777777" w:rsidR="00000000" w:rsidRDefault="0012024A">
      <w:pPr>
        <w:spacing w:line="240" w:lineRule="auto"/>
        <w:ind w:left="0" w:hanging="2"/>
      </w:pPr>
      <w:r>
        <w:separator/>
      </w:r>
    </w:p>
  </w:footnote>
  <w:footnote w:type="continuationSeparator" w:id="0">
    <w:p w14:paraId="398697F0" w14:textId="77777777" w:rsidR="00000000" w:rsidRDefault="0012024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AFEBF" w14:textId="77777777" w:rsidR="00FC5E94" w:rsidRDefault="00FC5E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B713" w14:textId="77777777" w:rsidR="00FC5E94" w:rsidRDefault="00FC5E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3F78" w14:textId="77777777" w:rsidR="00FC5E94" w:rsidRDefault="00FC5E9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Arial" w:eastAsia="Arial" w:hAnsi="Arial" w:cs="Arial"/>
        <w:color w:val="000000"/>
      </w:rPr>
    </w:pPr>
  </w:p>
  <w:tbl>
    <w:tblPr>
      <w:tblStyle w:val="a8"/>
      <w:tblW w:w="10770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9"/>
      <w:gridCol w:w="6376"/>
      <w:gridCol w:w="2125"/>
    </w:tblGrid>
    <w:tr w:rsidR="00FC5E94" w14:paraId="58A07B67" w14:textId="77777777">
      <w:trPr>
        <w:trHeight w:val="316"/>
        <w:jc w:val="center"/>
      </w:trPr>
      <w:tc>
        <w:tcPr>
          <w:tcW w:w="226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BE0AEFD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before="360"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  <w:drawing>
              <wp:inline distT="0" distB="0" distL="114300" distR="114300" wp14:anchorId="28D3E485" wp14:editId="63F28CCB">
                <wp:extent cx="781050" cy="781050"/>
                <wp:effectExtent l="0" t="0" r="0" b="0"/>
                <wp:docPr id="1032" name="image4.png" descr="Descrizione: D:\Users\mi02029\Desktop\91_ISO9001_rgb_120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 descr="Descrizione: D:\Users\mi02029\Desktop\91_ISO9001_rgb_120.gi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050" cy="7810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6B1036B6" wp14:editId="680FE4B1">
                <wp:simplePos x="0" y="0"/>
                <wp:positionH relativeFrom="column">
                  <wp:posOffset>2439987</wp:posOffset>
                </wp:positionH>
                <wp:positionV relativeFrom="paragraph">
                  <wp:posOffset>288925</wp:posOffset>
                </wp:positionV>
                <wp:extent cx="1400810" cy="526415"/>
                <wp:effectExtent l="0" t="0" r="0" b="0"/>
                <wp:wrapSquare wrapText="bothSides" distT="0" distB="0" distL="114300" distR="114300"/>
                <wp:docPr id="103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25A61C4B" w14:textId="77777777" w:rsidR="00FC5E94" w:rsidRDefault="00FC5E9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</w:p>
        <w:p w14:paraId="709830CD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CERTIFICATO  N. 50 100 14484</w:t>
          </w: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9951439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 xml:space="preserve">SISTEMA NAZIONALE </w:t>
          </w:r>
        </w:p>
        <w:p w14:paraId="073589FB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>GESTIONE QUALITA’ PER LA FORMAZIONE MARITTIMA</w:t>
          </w:r>
        </w:p>
      </w:tc>
      <w:tc>
        <w:tcPr>
          <w:tcW w:w="212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BFB094C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</w:r>
          <w:r w:rsidR="0012024A">
            <w:rPr>
              <w:rFonts w:ascii="Arial" w:eastAsia="Arial" w:hAnsi="Arial" w:cs="Arial"/>
              <w:noProof/>
              <w:color w:val="000000"/>
            </w:rPr>
            <w:object w:dxaOrig="790" w:dyaOrig="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0" o:spid="_x0000_i1025" type="#_x0000_t75" style="width:69.1pt;height:63.3pt;visibility:visible" o:ole="">
                <v:imagedata r:id="rId3" o:title=""/>
                <v:path o:extrusionok="t"/>
              </v:shape>
              <o:OLEObject Type="Embed" ProgID="PBrush" ShapeID="_x0000_s0" DrawAspect="Content" ObjectID="_1707120209" r:id="rId4"/>
            </w:object>
          </w:r>
        </w:p>
      </w:tc>
    </w:tr>
    <w:tr w:rsidR="00FC5E94" w14:paraId="70ABFEE6" w14:textId="77777777">
      <w:trPr>
        <w:trHeight w:val="31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FAB139C" w14:textId="77777777" w:rsidR="00FC5E94" w:rsidRDefault="00FC5E9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11BFE73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2" w:hanging="4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Overlock" w:eastAsia="Overlock" w:hAnsi="Overlock" w:cs="Overlock"/>
              <w:b/>
              <w:i/>
              <w:color w:val="0070C0"/>
              <w:sz w:val="36"/>
              <w:szCs w:val="36"/>
            </w:rPr>
            <w:t>QUALI.FOR.MA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9FD2CCA" w14:textId="77777777" w:rsidR="00FC5E94" w:rsidRDefault="00FC5E9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</w:tr>
    <w:tr w:rsidR="00FC5E94" w14:paraId="3ABB323A" w14:textId="77777777">
      <w:trPr>
        <w:trHeight w:val="1963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15EA7C5" w14:textId="77777777" w:rsidR="00FC5E94" w:rsidRDefault="00FC5E9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56E324" w14:textId="77777777" w:rsidR="00FC5E94" w:rsidRDefault="00FC5E9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jc w:val="center"/>
            <w:rPr>
              <w:rFonts w:ascii="Arial" w:eastAsia="Arial" w:hAnsi="Arial" w:cs="Arial"/>
              <w:color w:val="000000"/>
              <w:sz w:val="10"/>
              <w:szCs w:val="10"/>
            </w:rPr>
          </w:pPr>
        </w:p>
        <w:p w14:paraId="5B54CD38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114300" distR="114300" wp14:anchorId="60F05237" wp14:editId="7E8EE87C">
                <wp:extent cx="409575" cy="352425"/>
                <wp:effectExtent l="0" t="0" r="0" b="0"/>
                <wp:docPr id="1033" name="image3.jpg" descr="Descrizione: Stat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Descrizione: Stato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5F51C1F9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</w:rPr>
            <w:t>ISTITUTO STATALE DI ISTRUZIONE SUPERIORE</w:t>
          </w:r>
        </w:p>
        <w:p w14:paraId="5E8B451F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i/>
              <w:color w:val="000000"/>
            </w:rPr>
            <w:t>“R. Del Rosso - G. Da Verrazzano”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</w:t>
          </w:r>
        </w:p>
        <w:p w14:paraId="1FE7A409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Via Panoramica, 81 - 58019  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Porto S. Stefano (GR)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 </w:t>
          </w:r>
        </w:p>
        <w:p w14:paraId="148CA4B8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Tel. 0564 812490 – 0564810045 / Fax 0564 814175</w:t>
          </w:r>
        </w:p>
        <w:p w14:paraId="7297EA34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C.F. 82002910535  Cod.Mecc. GRIS00900X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900B20B" w14:textId="77777777" w:rsidR="00FC5E94" w:rsidRDefault="00FC5E9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  <w:tr w:rsidR="00FC5E94" w14:paraId="7D14C9BC" w14:textId="77777777">
      <w:trPr>
        <w:trHeight w:val="52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A82B9EE" w14:textId="77777777" w:rsidR="00FC5E94" w:rsidRDefault="00FC5E9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423B7A7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b/>
              <w:i/>
              <w:color w:val="000000"/>
              <w:sz w:val="22"/>
              <w:szCs w:val="22"/>
            </w:rPr>
            <w:t>Programmazione didattica CMN</w:t>
          </w:r>
        </w:p>
      </w:tc>
      <w:tc>
        <w:tcPr>
          <w:tcW w:w="21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949537E" w14:textId="77777777" w:rsidR="00FC5E94" w:rsidRDefault="0012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MD-STCW/02-7.3_2</w:t>
          </w:r>
        </w:p>
      </w:tc>
    </w:tr>
  </w:tbl>
  <w:p w14:paraId="218C1DA5" w14:textId="77777777" w:rsidR="00FC5E94" w:rsidRDefault="00FC5E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6AEF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07A3207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0A2F71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 w15:restartNumberingAfterBreak="0">
    <w:nsid w:val="11CD12F4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17BE7B71"/>
    <w:multiLevelType w:val="multilevel"/>
    <w:tmpl w:val="FFFFFFFF"/>
    <w:lvl w:ilvl="0">
      <w:start w:val="1"/>
      <w:numFmt w:val="bullet"/>
      <w:lvlText w:val="●"/>
      <w:lvlJc w:val="left"/>
      <w:pPr>
        <w:ind w:left="10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B4E380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BFD717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0B1716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BB214F1"/>
    <w:multiLevelType w:val="multilevel"/>
    <w:tmpl w:val="FFFFFFFF"/>
    <w:lvl w:ilvl="0">
      <w:numFmt w:val="bullet"/>
      <w:lvlText w:val="●"/>
      <w:lvlJc w:val="left"/>
      <w:pPr>
        <w:ind w:left="71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 w15:restartNumberingAfterBreak="0">
    <w:nsid w:val="2F214E6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09E65D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1983734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47F07E9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A3B7D2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FDA26E3"/>
    <w:multiLevelType w:val="multilevel"/>
    <w:tmpl w:val="FFFFFFF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6F9187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75B2004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F953FED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0"/>
  </w:num>
  <w:num w:numId="6">
    <w:abstractNumId w:val="16"/>
  </w:num>
  <w:num w:numId="7">
    <w:abstractNumId w:val="13"/>
  </w:num>
  <w:num w:numId="8">
    <w:abstractNumId w:val="9"/>
  </w:num>
  <w:num w:numId="9">
    <w:abstractNumId w:val="12"/>
  </w:num>
  <w:num w:numId="10">
    <w:abstractNumId w:val="11"/>
  </w:num>
  <w:num w:numId="11">
    <w:abstractNumId w:val="1"/>
  </w:num>
  <w:num w:numId="12">
    <w:abstractNumId w:val="15"/>
  </w:num>
  <w:num w:numId="13">
    <w:abstractNumId w:val="8"/>
  </w:num>
  <w:num w:numId="14">
    <w:abstractNumId w:val="3"/>
  </w:num>
  <w:num w:numId="15">
    <w:abstractNumId w:val="14"/>
  </w:num>
  <w:num w:numId="16">
    <w:abstractNumId w:val="5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E94"/>
    <w:rsid w:val="0012024A"/>
    <w:rsid w:val="00FC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AEA49D"/>
  <w15:docId w15:val="{CBE02756-1C2C-224C-B5BC-89FBB46A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Paragrafoelenco">
    <w:name w:val="List Paragraph"/>
    <w:basedOn w:val="Normale"/>
    <w:pPr>
      <w:suppressAutoHyphens w:val="0"/>
      <w:ind w:left="720"/>
      <w:contextualSpacing/>
    </w:pPr>
    <w:rPr>
      <w:lang w:eastAsia="ar-SA"/>
    </w:rPr>
  </w:style>
  <w:style w:type="paragraph" w:styleId="NormaleWeb">
    <w:name w:val="Normal (Web)"/>
    <w:basedOn w:val="Normale"/>
    <w:qFormat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1" w:type="dxa"/>
        <w:bottom w:w="0" w:type="dxa"/>
        <w:right w:w="71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cpV19fJdKID/NVwvx9bPuXVJXA==">AMUW2mWtvAh51ekC/REmHJDpMlrzvgMfftSvToWigrq1dy7GH1gdAqTmY7DPpTvj4Aj8fKq2fuFWabPMZSY7qphLEQMam1VFH8LcEGRrOQicPu9GYflSImM=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3427</Words>
  <Characters>19535</Characters>
  <Application>Microsoft Office Word</Application>
  <DocSecurity>0</DocSecurity>
  <Lines>162</Lines>
  <Paragraphs>45</Paragraphs>
  <ScaleCrop>false</ScaleCrop>
  <Company/>
  <LinksUpToDate>false</LinksUpToDate>
  <CharactersWithSpaces>22917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 Gianfranco</dc:creator>
  <cp:lastModifiedBy>Iaia pop</cp:lastModifiedBy>
  <cp:revision>2</cp:revision>
  <dcterms:created xsi:type="dcterms:W3CDTF">2022-02-23T10:17:00Z</dcterms:created>
  <dcterms:modified xsi:type="dcterms:W3CDTF">2022-02-23T10:17:00Z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CMN</vt:lpwstr>
  </property>
  <property fmtid="{D5CDD505-2E9C-101B-9397-08002B2CF9AE}" pid="4" name="Codice completo documento">
    <vt:lpwstr>MD-STCW/02-7.3_2</vt:lpwstr>
  </property>
  <property fmtid="{D5CDD505-2E9C-101B-9397-08002B2CF9AE}" pid="5" name="Indice di revisione">
    <vt:lpwstr>2</vt:lpwstr>
  </property>
  <property fmtid="{D5CDD505-2E9C-101B-9397-08002B2CF9AE}" pid="6" name="Data pubblicazione">
    <vt:lpwstr>06/06/2019</vt:lpwstr>
  </property>
  <property fmtid="{D5CDD505-2E9C-101B-9397-08002B2CF9AE}" pid="7" name="Codice documento">
    <vt:lpwstr>02-7.3_2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06/06/2019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06/06/2019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Sbrolli Enzo	06/06/2019</vt:lpwstr>
  </property>
  <property fmtid="{D5CDD505-2E9C-101B-9397-08002B2CF9AE}" pid="16" name="Approvatore 1">
    <vt:lpwstr>Sbrolli Enzo</vt:lpwstr>
  </property>
  <property fmtid="{D5CDD505-2E9C-101B-9397-08002B2CF9AE}" pid="17" name="Iniziali approvatore 1">
    <vt:lpwstr>SBE</vt:lpwstr>
  </property>
  <property fmtid="{D5CDD505-2E9C-101B-9397-08002B2CF9AE}" pid="18" name="NOMI WORKFLOW">
    <vt:lpwstr>Redazione:
	Santo Gianfranco	06/06/2019
Verifica:
	Santo Gianfranco	06/06/2019
Approvazione:
	Sbrolli Enzo	06/06/2019</vt:lpwstr>
  </property>
  <property fmtid="{D5CDD505-2E9C-101B-9397-08002B2CF9AE}" pid="19" name="NOMI WORKFLOW SENZA DATE">
    <vt:lpwstr>Redazione:
	Santo Gianfranco
Verifica:
	Santo Gianfranco
Approvazione:
	Sbrolli Enzo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Docenti</vt:lpwstr>
  </property>
  <property fmtid="{D5CDD505-2E9C-101B-9397-08002B2CF9AE}" pid="26" name="DATA_REV_0">
    <vt:lpwstr>17/09/2015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17/09/2015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  <property fmtid="{D5CDD505-2E9C-101B-9397-08002B2CF9AE}" pid="32" name="DATA_REV_2">
    <vt:lpwstr>06/06/2019</vt:lpwstr>
  </property>
  <property fmtid="{D5CDD505-2E9C-101B-9397-08002B2CF9AE}" pid="33" name="IND_REV_2">
    <vt:lpwstr>2</vt:lpwstr>
  </property>
  <property fmtid="{D5CDD505-2E9C-101B-9397-08002B2CF9AE}" pid="34" name="MODIFICHE_REV_2">
    <vt:lpwstr>   </vt:lpwstr>
  </property>
</Properties>
</file>